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C6" w:rsidRDefault="00315F6A">
      <w:pPr>
        <w:pStyle w:val="ConsPlusNormal"/>
        <w:jc w:val="right"/>
        <w:outlineLvl w:val="0"/>
      </w:pPr>
      <w:bookmarkStart w:id="0" w:name="_GoBack"/>
      <w:bookmarkEnd w:id="0"/>
      <w:r>
        <w:t>Приложение N 10</w:t>
      </w:r>
    </w:p>
    <w:p w:rsidR="00A267C6" w:rsidRDefault="00315F6A">
      <w:pPr>
        <w:pStyle w:val="ConsPlusNormal"/>
        <w:jc w:val="right"/>
      </w:pPr>
      <w:r>
        <w:t>к Программе</w:t>
      </w:r>
    </w:p>
    <w:p w:rsidR="00A267C6" w:rsidRDefault="00A267C6">
      <w:pPr>
        <w:pStyle w:val="ConsPlusNormal"/>
        <w:jc w:val="both"/>
      </w:pPr>
    </w:p>
    <w:p w:rsidR="00A267C6" w:rsidRDefault="00315F6A">
      <w:pPr>
        <w:pStyle w:val="ConsPlusTitle"/>
        <w:jc w:val="center"/>
      </w:pPr>
      <w:r>
        <w:t>ПРАВИЛА</w:t>
      </w:r>
    </w:p>
    <w:p w:rsidR="00A267C6" w:rsidRDefault="00315F6A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A267C6" w:rsidRDefault="00315F6A">
      <w:pPr>
        <w:pStyle w:val="ConsPlusTitle"/>
        <w:jc w:val="center"/>
      </w:pPr>
      <w:r>
        <w:t>БЮДЖЕТА МЕСТНЫМ БЮДЖЕТАМ МУРМАНСКОЙ ОБЛАСТИ НА РЕАЛИЗАЦИЮ</w:t>
      </w:r>
    </w:p>
    <w:p w:rsidR="00A267C6" w:rsidRDefault="00315F6A">
      <w:pPr>
        <w:pStyle w:val="ConsPlusTitle"/>
        <w:jc w:val="center"/>
      </w:pPr>
      <w:r>
        <w:t xml:space="preserve">ПЛАНА МЕРОПРИЯТИЙ ПО РАЗВИТИЮ </w:t>
      </w:r>
      <w:proofErr w:type="gramStart"/>
      <w:r>
        <w:t>ЖИЛИЩНОЙ</w:t>
      </w:r>
      <w:proofErr w:type="gramEnd"/>
      <w:r>
        <w:t>, ЭНЕРГЕТИЧЕСКОЙ</w:t>
      </w:r>
    </w:p>
    <w:p w:rsidR="00A267C6" w:rsidRDefault="00315F6A">
      <w:pPr>
        <w:pStyle w:val="ConsPlusTitle"/>
        <w:jc w:val="center"/>
      </w:pPr>
      <w:r>
        <w:t xml:space="preserve">И СОЦИАЛЬНОЙ ИНФРАСТРУКТУРЫ </w:t>
      </w:r>
      <w:proofErr w:type="gramStart"/>
      <w:r>
        <w:t>ЗАКРЫТЫХ</w:t>
      </w:r>
      <w:proofErr w:type="gramEnd"/>
    </w:p>
    <w:p w:rsidR="00A267C6" w:rsidRDefault="00315F6A">
      <w:pPr>
        <w:pStyle w:val="ConsPlusTitle"/>
        <w:jc w:val="center"/>
      </w:pPr>
      <w:r>
        <w:t>АДМИНИСТРАТИВНО-ТЕРРИТОРИАЛЬНЫХ ОБРАЗОВАНИЙ И НАСЕЛЕННЫХ</w:t>
      </w:r>
    </w:p>
    <w:p w:rsidR="00A267C6" w:rsidRDefault="00315F6A">
      <w:pPr>
        <w:pStyle w:val="ConsPlusTitle"/>
        <w:jc w:val="center"/>
      </w:pPr>
      <w:proofErr w:type="gramStart"/>
      <w:r>
        <w:t>ПУНКТОВ МУРМАНСКОЙ ОБЛАСТИ, В КОТОРЫХ ДИСЛОЦИРОВАНЫ ВОИНСКИЕ</w:t>
      </w:r>
      <w:proofErr w:type="gramEnd"/>
    </w:p>
    <w:p w:rsidR="00A267C6" w:rsidRDefault="00315F6A">
      <w:pPr>
        <w:pStyle w:val="ConsPlusTitle"/>
        <w:jc w:val="center"/>
      </w:pPr>
      <w:r>
        <w:t>ФОРМИРОВАНИЯ, НА 2024 - 2026 ГОДЫ</w:t>
      </w:r>
    </w:p>
    <w:p w:rsidR="00A267C6" w:rsidRDefault="00A267C6">
      <w:pPr>
        <w:pStyle w:val="ConsPlusNormal"/>
        <w:jc w:val="both"/>
      </w:pPr>
    </w:p>
    <w:p w:rsidR="00A267C6" w:rsidRDefault="00315F6A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порядок, цели и условия предоставления, распределения субсидий из об</w:t>
      </w:r>
      <w:r>
        <w:t>ластного бюджета местным бюджетам Мурманской области на реализацию Плана мероприятий по развитию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</w:t>
      </w:r>
      <w:r>
        <w:t>слоцированы воинские формирования, на 2024 - 2026 годы в рамках Плана социального развития центров экономического роста Мурманской области, утвержденного распоряжением Правительства Мурманской области</w:t>
      </w:r>
      <w:proofErr w:type="gramEnd"/>
      <w:r>
        <w:t xml:space="preserve"> от 25.11.2022 N 302-РП (далее - Субсидия, муниципальное</w:t>
      </w:r>
      <w:r>
        <w:t xml:space="preserve"> образование).</w:t>
      </w:r>
    </w:p>
    <w:p w:rsidR="00A267C6" w:rsidRDefault="00315F6A">
      <w:pPr>
        <w:pStyle w:val="ConsPlusNormal"/>
        <w:spacing w:before="240"/>
        <w:ind w:firstLine="540"/>
        <w:jc w:val="both"/>
      </w:pPr>
      <w:bookmarkStart w:id="1" w:name="P13"/>
      <w:bookmarkEnd w:id="1"/>
      <w:r>
        <w:t xml:space="preserve">2. </w:t>
      </w:r>
      <w:proofErr w:type="gramStart"/>
      <w:r>
        <w:t>Субсидия предоставляется в целях софинансирования расходных обязательств муниципального образования, возникающих при реализации региональной программы "План мероприятий по развитию жилищной, энергетической и социальной инфраструктуры закр</w:t>
      </w:r>
      <w:r>
        <w:t>ытых административно-территориальных образований и населенных пунктов Мурманской области, в которых дислоцированы воинские формирования" на 2024 - 2026 годы, утвержденной постановлением Правительства Мурманской области от 27.06.2024 N 420-ПП (далее - Прогр</w:t>
      </w:r>
      <w:r>
        <w:t>амма).</w:t>
      </w:r>
      <w:proofErr w:type="gramEnd"/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3. Настоящие правила </w:t>
      </w:r>
      <w:proofErr w:type="gramStart"/>
      <w:r>
        <w:t>применяются при предоставлении Субсидии бюджету муниципального образования на реализацию мероприятий Программы и не распространяются</w:t>
      </w:r>
      <w:proofErr w:type="gramEnd"/>
      <w:r>
        <w:t xml:space="preserve"> на субсидии из областного бюджета местным бюджетам, предоставление которых предусмотрено иными </w:t>
      </w:r>
      <w:r>
        <w:t xml:space="preserve">правилами предоставления и распределения субсидий из областного бюджета местным бюджетам, утвержденными соответствующими государственными программами Мурманской области, целью предоставления которых </w:t>
      </w:r>
      <w:proofErr w:type="gramStart"/>
      <w:r>
        <w:t>является</w:t>
      </w:r>
      <w:proofErr w:type="gramEnd"/>
      <w:r>
        <w:t xml:space="preserve"> в том числе реализация мероприятий Программы.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4.</w:t>
      </w:r>
      <w:r>
        <w:t xml:space="preserve"> Субсидия предоставляется муниципальному образованию в пределах лимитов бюджетных обязательств, доведенных до Министерства градостроительства и благоустройства Мурманской области, Министерства строительства Мурманской области, Министерства транспорта и дор</w:t>
      </w:r>
      <w:r>
        <w:t>ожного хозяйства Мурманской области, Министерства энергетики и жилищно-коммунального хозяйства Мурманской области, являющихся главными распорядителями бюджетных средств (далее - ГРБС).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5. Критерием отбора муниципального образования для предоставления субси</w:t>
      </w:r>
      <w:r>
        <w:t>дии является наличие у муниципального образования мероприятий, направленных на развитие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дислоцирова</w:t>
      </w:r>
      <w:r>
        <w:t>ны воинские формирования, включенных в Программу.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6. Условиями предоставления Субсидии из областного бюджета бюджету муниципального образования являются:</w:t>
      </w:r>
    </w:p>
    <w:p w:rsidR="00A267C6" w:rsidRDefault="00315F6A">
      <w:pPr>
        <w:pStyle w:val="ConsPlusNormal"/>
        <w:spacing w:before="240"/>
        <w:ind w:firstLine="540"/>
        <w:jc w:val="both"/>
      </w:pPr>
      <w:bookmarkStart w:id="2" w:name="P18"/>
      <w:bookmarkEnd w:id="2"/>
      <w:r>
        <w:lastRenderedPageBreak/>
        <w:t>1) наличие правового акта муниципального образования, утверждающего перечень мероприятий, соответствую</w:t>
      </w:r>
      <w:r>
        <w:t>щих перечню мероприятий Программы, в целях софинансирования которых предоставляется Субсидия (далее - правовой акт муниципального образования);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 xml:space="preserve">2) наличие утвержденной проектной документации на объекты капитального строительства, положительного заключения </w:t>
      </w:r>
      <w:r>
        <w:t>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является обязательным) или наличие обязательства муниципального образования, предусматривающего обеспечени</w:t>
      </w:r>
      <w:r>
        <w:t>е разработки проектной документации, проведение в установленных законодательством Российской Федерации случаях государственной экспертизы проектной документации, за исключением случаев предоставления Субсидии в целях реализации мероприятий, которыми</w:t>
      </w:r>
      <w:proofErr w:type="gramEnd"/>
      <w:r>
        <w:t xml:space="preserve"> предус</w:t>
      </w:r>
      <w:r>
        <w:t>мотрена разработка проектной документации;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3) заключение соглашения,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(далее - Соглашение), и ответст</w:t>
      </w:r>
      <w:r>
        <w:t>венность за невыполнение предусмотренных указанным соглашением обязательств.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>Если за счет средств Субсидии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</w:t>
      </w:r>
      <w:r>
        <w:t xml:space="preserve">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Субсидии является централизация закупок в соответствии с частью 7 статьи 26 Федерального закона от 05.04.2013 </w:t>
      </w:r>
      <w:r>
        <w:t>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</w:t>
      </w:r>
      <w:r>
        <w:t>учреждением, полномочия которого определены решением Правительства Мурманской области.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Если за счет средств Субсидии автономным учреждением, иным юридическим лицом осуществляется закупка в соответствии с частью 4 статьи 15 Закона N 44-ФЗ, обязательными усл</w:t>
      </w:r>
      <w:r>
        <w:t>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форм, утверждаемых Комитетом.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</w:t>
      </w:r>
      <w:r>
        <w:t xml:space="preserve"> счет средств Субсидии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</w:t>
      </w:r>
      <w:r>
        <w:t>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>проектов, которые осущест</w:t>
      </w:r>
      <w:r>
        <w:t>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</w:t>
      </w:r>
      <w:r>
        <w:t>урентными способами в соответствии с Законом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Срок исполнения работ, услуг, поставки товаров в обязательном порядке предварительно согласовывается с </w:t>
      </w:r>
      <w:proofErr w:type="gramStart"/>
      <w:r>
        <w:t>соответствующим</w:t>
      </w:r>
      <w:proofErr w:type="gramEnd"/>
      <w:r>
        <w:t xml:space="preserve"> ГРБС.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lastRenderedPageBreak/>
        <w:t>7. Распределение и размер Субсидии муниципальному образованию определяются в соответствии с перечнем мероприятий Программы.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8. Субс</w:t>
      </w:r>
      <w:r>
        <w:t xml:space="preserve">идия предоставляется за счет средств областного бюджета, источниками финансового обеспечения которых </w:t>
      </w:r>
      <w:proofErr w:type="gramStart"/>
      <w:r>
        <w:t>являются</w:t>
      </w:r>
      <w:proofErr w:type="gramEnd"/>
      <w:r>
        <w:t xml:space="preserve"> в том числе средства федерального бюджета, доведенные соответствующему ГРБС в соответствии с Правилами предоставления и распределения субсидий на </w:t>
      </w:r>
      <w:r>
        <w:t>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Федерации, утвержденными постановлением Правительства Российской Федерации от 30.03.2021 N 484.</w:t>
      </w:r>
    </w:p>
    <w:p w:rsidR="00A267C6" w:rsidRDefault="00315F6A">
      <w:pPr>
        <w:pStyle w:val="ConsPlusNormal"/>
        <w:spacing w:before="240"/>
        <w:ind w:firstLine="540"/>
        <w:jc w:val="both"/>
      </w:pPr>
      <w:bookmarkStart w:id="3" w:name="P27"/>
      <w:bookmarkEnd w:id="3"/>
      <w:r>
        <w:t>9. Уровень софинансир</w:t>
      </w:r>
      <w:r>
        <w:t>ования расходного обязательства муниципального образования из областного бюджета устанавливается в размере 99,99 % в соответствии с Порядком определения и установления предельного уровня софинансирования из областного бюджета расходного обязательства муниц</w:t>
      </w:r>
      <w:r>
        <w:t>ипального образования, утвержденного постановлением Правительства Мурманской области от 05.09.2011 N 445-ПП.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</w:t>
      </w:r>
      <w:r>
        <w:t>е, превышающем размер расходного обязательства муниципального образования, в целях софинансирования которого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</w:t>
      </w:r>
      <w:r>
        <w:t>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A267C6" w:rsidRDefault="00315F6A">
      <w:pPr>
        <w:pStyle w:val="ConsPlusNormal"/>
        <w:spacing w:before="24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</w:t>
      </w:r>
      <w:r>
        <w:t>о реализацию более одного мероприятия, в Соглашении возможно установление различных уровней софинансирования из областного бюджета расходного обязательства муниципального образования, не превышающих предельный уровень софинансирования из областного бюджета</w:t>
      </w:r>
      <w:r>
        <w:t xml:space="preserve"> расходного обязательства муниципального образования, установленный в соответствии с </w:t>
      </w:r>
      <w:hyperlink w:anchor="P27" w:tooltip="9. Уровень софинансирования расходного обязательства муниципального образования из областного бюджета устанавливается в размере 99,99 % в соответствии с Порядком определения и установления предельного уровня софинансирования из областного бюджета расходного об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 xml:space="preserve">Субсидия предоставляется муниципальному образованию в пределах лимитов бюджетных обязательств на </w:t>
      </w:r>
      <w:r>
        <w:t xml:space="preserve">цели, указанные в </w:t>
      </w:r>
      <w:hyperlink w:anchor="P13" w:tooltip="2. Субсидия предоставляется в целях софинансирования расходных обязательств муниципального образования, возникающих при реализации региональной программы &quot;План мероприятий по развитию жилищной, энергетической и социальной инфраструктуры закрытых административн">
        <w:r>
          <w:rPr>
            <w:color w:val="0000FF"/>
          </w:rPr>
          <w:t>пункте 2</w:t>
        </w:r>
      </w:hyperlink>
      <w:r>
        <w:t xml:space="preserve"> настоящих Правил, доведенных до соответствующего ГРБС, на основании Соглашения, заключенного между соответствующим ГРБС и органом местного самоуправления муниципального образования в государст</w:t>
      </w:r>
      <w:r>
        <w:t>венной интегрированной информационной системе управления общественными финансами "Электронный бюджет" в соответствии с типовой формой, утвержденной Министерством финансов Российской Федерации.</w:t>
      </w:r>
      <w:proofErr w:type="gramEnd"/>
      <w:r>
        <w:t xml:space="preserve"> Соглашение должно соответствовать требованиям, установленным пр</w:t>
      </w:r>
      <w:r>
        <w:t>авилами предоставления субсидии из федерального бюджета, предусмотренными абзацем первым пункта 3 статьи 132 Бюджетного кодекса Российской Федерации.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В случае выделения дополнительных средств областного бюджета на реализацию мероприятий Программы Субсидия </w:t>
      </w:r>
      <w:r>
        <w:t xml:space="preserve">предоставляется на основании Соглашения, заключенного между </w:t>
      </w:r>
      <w:proofErr w:type="gramStart"/>
      <w:r>
        <w:t>соответствующим</w:t>
      </w:r>
      <w:proofErr w:type="gramEnd"/>
      <w:r>
        <w:t xml:space="preserve"> ГРБС и администрацией соответствующего муниципального образования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 в соот</w:t>
      </w:r>
      <w:r>
        <w:t>ветствии с типовой формой, утверждаемой соответствующим ГРБС финансов Мурманской области. Соглашение должно содержать положения, предусмотренные пунктом 7 Правил формирования, предоставления и распределения субсидий из областного бюджета местным бюджетам М</w:t>
      </w:r>
      <w:r>
        <w:t xml:space="preserve">урманской области, утвержденных постановлением Правительства Мурманской области от 05.09.2011 N 445-ПП (далее - Правила </w:t>
      </w:r>
      <w:r>
        <w:lastRenderedPageBreak/>
        <w:t>445-ПП).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Соглашение о предоставлении Субсидии заключается на срок, который не может быть менее срока, на который в установленном порядке</w:t>
      </w:r>
      <w:r>
        <w:t xml:space="preserve"> утверждено распределение субсидий между муниципальными образованиями.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В случае внесения изменений в сводную бюджетную роспись, предусматривающих уточнение в соответствующем финансовом году объемов бюджетных ассигнований на предоставление Субсидии, в Согла</w:t>
      </w:r>
      <w:r>
        <w:t>шение вносятся соответствующие изменения.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11. При заключении Соглашения уполномоченным органом местного самоуправления муниципального образования в </w:t>
      </w:r>
      <w:proofErr w:type="gramStart"/>
      <w:r>
        <w:t>соответствующий</w:t>
      </w:r>
      <w:proofErr w:type="gramEnd"/>
      <w:r>
        <w:t xml:space="preserve"> ГРБС предоставляются документы, подтверждающие соблюдение условий предоставления Субсидии, п</w:t>
      </w:r>
      <w:r>
        <w:t xml:space="preserve">редусмотренных </w:t>
      </w:r>
      <w:hyperlink w:anchor="P18" w:tooltip="1) наличие правового акта муниципального образования, утверждающего перечень мероприятий, соответствующих перечню мероприятий Программы, в целях софинансирования которых предоставляется Субсидия (далее - правовой акт муниципального образования);">
        <w:r>
          <w:rPr>
            <w:color w:val="0000FF"/>
          </w:rPr>
          <w:t>подпунктом 1 пункта 6</w:t>
        </w:r>
      </w:hyperlink>
      <w:r>
        <w:t xml:space="preserve"> настоящих Правил.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В случае отсутствия правового акта муниципального образования, утверждающего перечень мероприятий, в целях софинансирования которых предоставляется Субсидия, уполномоченный орган м</w:t>
      </w:r>
      <w:r>
        <w:t xml:space="preserve">естного самоуправления муниципального образования предоставляет </w:t>
      </w:r>
      <w:proofErr w:type="gramStart"/>
      <w:r>
        <w:t>соответствующему</w:t>
      </w:r>
      <w:proofErr w:type="gramEnd"/>
      <w:r>
        <w:t xml:space="preserve"> ГРБС гарантийное письмо об утверждении указанного правового акта муниципального образования не позднее 30 рабочих дней со дня заключения Соглашения.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12. Оценка результативност</w:t>
      </w:r>
      <w:r>
        <w:t xml:space="preserve">и использования субсидии осуществляется соответствующим ГРБС по итогам финансового года на основании отчета о достижении значений результатов использования субсидии путем </w:t>
      </w:r>
      <w:proofErr w:type="gramStart"/>
      <w:r>
        <w:t>сравнения</w:t>
      </w:r>
      <w:proofErr w:type="gramEnd"/>
      <w:r>
        <w:t xml:space="preserve"> фактически достигнутых муниципальным образованием значений результатов испо</w:t>
      </w:r>
      <w:r>
        <w:t>льзования субсидии и плановых значений, установленных Соглашением.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13. Результатами использования субсидии являются: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- количество построенных (реконструированных) и введенных в эксплуатацию объектов капитального строительства;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- количество реализованных </w:t>
      </w:r>
      <w:proofErr w:type="gramStart"/>
      <w:r>
        <w:t>ме</w:t>
      </w:r>
      <w:r>
        <w:t>роприятий планов социального развития центров экономического роста Мурманской области</w:t>
      </w:r>
      <w:proofErr w:type="gramEnd"/>
      <w:r>
        <w:t>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14. Орган местного самоуправления муниципального образования обеспечивает представление </w:t>
      </w:r>
      <w:proofErr w:type="gramStart"/>
      <w:r>
        <w:t>соответствующему</w:t>
      </w:r>
      <w:proofErr w:type="gramEnd"/>
      <w:r>
        <w:t xml:space="preserve"> ГРБС отчетов в форме электронного документа в государственной ин</w:t>
      </w:r>
      <w:r>
        <w:t>тегрированной системе управления общественными финансами "Электронный бюджет":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а) отчет об осуществлении расходов местного бюджета, в целях софинансирования которых представлена Субсидия, не позднее 3-го числа месяца, следующего за отчетным кварталом;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б) отчет о достижении значений показателей результативности использования Субсидии (ежемесячные отчеты - не позднее 3 рабочих дней месяца, следующего за отчетным периодом; ежегодные отчеты - не позднее 5 рабочих дней месяца, следующего за отчетным периодом</w:t>
      </w:r>
      <w:r>
        <w:t>; ежегодные уточненные отчеты - не позднее 5 февраля, следующего за отчетным годом).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В случае заключения Соглашения в Программном комплексе уполномоченный орган муниципального образования обеспечивает представление </w:t>
      </w:r>
      <w:proofErr w:type="gramStart"/>
      <w:r>
        <w:t>соответствующему</w:t>
      </w:r>
      <w:proofErr w:type="gramEnd"/>
      <w:r>
        <w:t xml:space="preserve"> ГРБС посредством Програм</w:t>
      </w:r>
      <w:r>
        <w:t>много комплекса отчетов по формам, предусмотренным в Соглашении: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lastRenderedPageBreak/>
        <w:t>- отчет об осуществлении расходов местного бюджета, в целях софинансирования которых представлена Субсидия, не позднее 3-го числа месяца, следующего за кварталом, в котором была получена Субс</w:t>
      </w:r>
      <w:r>
        <w:t>идия;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- отчет о достижении значений показателей результативности использования Субсидии (ежемесячные отчеты - не позднее 3 рабочих дней месяца, следующего за отчетным периодом; ежегодные отчеты - не позднее 5 рабочих дней месяца, следующего за отчетным пер</w:t>
      </w:r>
      <w:r>
        <w:t>иодом (посредством электронного документа "Справка")).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>Соответствующее</w:t>
      </w:r>
      <w:proofErr w:type="gramEnd"/>
      <w:r>
        <w:t xml:space="preserve"> ГРБС вправе устанавливать в Соглашении дополнительные формы отчетности и сроки их предоставления муниципальным образованием.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15. Субсидия перечисляется на единые счета местных бюджетов,</w:t>
      </w:r>
      <w:r>
        <w:t xml:space="preserve">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</w:t>
      </w:r>
      <w:r>
        <w:t>Субсидии.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Перечисление Субсидии в бюджет муниципального образования осуществляется на основании заявки на финансирование органа местного самоуправления муниципального образования по форме, установленной Министерством.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16. Не использованные на 1 января теку</w:t>
      </w:r>
      <w:r>
        <w:t>щего финансового года средства Субсидии подлежат возврату в доход областного бюджета.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>Согласно решению соответствующего ГРБС о наличии потребности в средствах Субсидии, не использованных в отчетном финансовом году, согласованному с Министерством финансов М</w:t>
      </w:r>
      <w:r>
        <w:t>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</w:t>
      </w:r>
      <w:r>
        <w:t>я указанной Субсидии.</w:t>
      </w:r>
      <w:proofErr w:type="gramEnd"/>
    </w:p>
    <w:p w:rsidR="00A267C6" w:rsidRDefault="00315F6A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>Потребность в неиспользованных остатках средств Субсидии, перечисление которой осуществлялось в отчетном финансовом году в пределах суммы, необходимой для оплаты денежных обязательств под фактическую потребность, определяется в текущем финансовом году в со</w:t>
      </w:r>
      <w:r>
        <w:t>ответствии с решением соответствующего ГРБС.</w:t>
      </w:r>
      <w:proofErr w:type="gramEnd"/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 xml:space="preserve"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перечисление Субсидии под фактическую </w:t>
      </w:r>
      <w:r>
        <w:t>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соответствую</w:t>
      </w:r>
      <w:r>
        <w:t>щим ГРБС в Министерство финансов Мурманской области.</w:t>
      </w:r>
      <w:proofErr w:type="gramEnd"/>
    </w:p>
    <w:p w:rsidR="00A267C6" w:rsidRDefault="00315F6A">
      <w:pPr>
        <w:pStyle w:val="ConsPlusNormal"/>
        <w:spacing w:before="240"/>
        <w:ind w:firstLine="540"/>
        <w:jc w:val="both"/>
      </w:pPr>
      <w:bookmarkStart w:id="4" w:name="P54"/>
      <w:bookmarkEnd w:id="4"/>
      <w:r>
        <w:t>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</w:t>
      </w:r>
      <w:r>
        <w:t xml:space="preserve">я года, следующего за годом предоставления Субсидии, </w:t>
      </w:r>
      <w:r>
        <w:lastRenderedPageBreak/>
        <w:t>определяется в соответствии с пунктами 12, 13 и 16 Правил N 445-ПП.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18. Основанием для освобождения муниципального образования от применения мер ответственности, предусмотренных </w:t>
      </w:r>
      <w:hyperlink w:anchor="P54" w:tooltip="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">
        <w:r>
          <w:rPr>
            <w:color w:val="0000FF"/>
          </w:rPr>
          <w:t>пунктом 17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пунктом 14 Правил N 445-ПП.</w:t>
      </w:r>
    </w:p>
    <w:p w:rsidR="00A267C6" w:rsidRDefault="00315F6A">
      <w:pPr>
        <w:pStyle w:val="ConsPlusNormal"/>
        <w:spacing w:before="240"/>
        <w:ind w:firstLine="540"/>
        <w:jc w:val="both"/>
      </w:pPr>
      <w:proofErr w:type="gramStart"/>
      <w:r>
        <w:t xml:space="preserve">В случае отсутствия оснований для </w:t>
      </w:r>
      <w:r>
        <w:t xml:space="preserve">освобождения муниципального образования от применения мер ответственности, предусмотренных </w:t>
      </w:r>
      <w:hyperlink w:anchor="P54" w:tooltip="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">
        <w:r>
          <w:rPr>
            <w:color w:val="0000FF"/>
          </w:rPr>
          <w:t>пунктом 17</w:t>
        </w:r>
      </w:hyperlink>
      <w:r>
        <w:t xml:space="preserve"> настоящих Правил, соответствующий ГРБС не позднее 30-го рабочего дня после первой даты представления отчетности о дост</w:t>
      </w:r>
      <w:r>
        <w:t>ижении значений показателей результативности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</w:t>
      </w:r>
      <w:r>
        <w:t>стной</w:t>
      </w:r>
      <w:proofErr w:type="gramEnd"/>
      <w:r>
        <w:t xml:space="preserve"> бюджет объема средств, рассчитанного в соответствии с </w:t>
      </w:r>
      <w:hyperlink w:anchor="P54" w:tooltip="17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">
        <w:r>
          <w:rPr>
            <w:color w:val="0000FF"/>
          </w:rPr>
          <w:t>пунктом 17</w:t>
        </w:r>
      </w:hyperlink>
      <w:r>
        <w:t xml:space="preserve"> настоящих Правил, с указанием сумм, подлежащих возврату, средств и сроков их возврата.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19. Субсидия </w:t>
      </w:r>
      <w:proofErr w:type="gramStart"/>
      <w:r>
        <w:t>носит целевой характер и не может</w:t>
      </w:r>
      <w:proofErr w:type="gramEnd"/>
      <w:r>
        <w:t xml:space="preserve"> быть использова</w:t>
      </w:r>
      <w:r>
        <w:t>на на другие цели.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20. Орган местного самоуправления муниципального образования несет ответственность за нецелевое и неэффективное использование Субсидии, непредставление или представление с нарушением сроков отчетности, предусмотренной настоящими Правилам</w:t>
      </w:r>
      <w:r>
        <w:t>и, а также представление недостоверной отчетности и документов.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>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A267C6" w:rsidRDefault="00315F6A">
      <w:pPr>
        <w:pStyle w:val="ConsPlusNormal"/>
        <w:spacing w:before="240"/>
        <w:ind w:firstLine="540"/>
        <w:jc w:val="both"/>
      </w:pPr>
      <w:r>
        <w:t xml:space="preserve">21. </w:t>
      </w:r>
      <w:proofErr w:type="gramStart"/>
      <w:r>
        <w:t>Контроль за</w:t>
      </w:r>
      <w:proofErr w:type="gramEnd"/>
      <w:r>
        <w:t xml:space="preserve"> соблюдением муниципальным о</w:t>
      </w:r>
      <w:r>
        <w:t>бразованием условий, целей и порядка предоставления Субсидии осуществляется соответствующим ГРБС и органами государственного финансового контроля Мурманской области.</w:t>
      </w:r>
    </w:p>
    <w:p w:rsidR="00A267C6" w:rsidRDefault="00A267C6">
      <w:pPr>
        <w:pStyle w:val="ConsPlusNormal"/>
        <w:jc w:val="both"/>
      </w:pPr>
    </w:p>
    <w:p w:rsidR="00A267C6" w:rsidRDefault="00A267C6">
      <w:pPr>
        <w:pStyle w:val="ConsPlusNormal"/>
        <w:jc w:val="both"/>
      </w:pPr>
    </w:p>
    <w:p w:rsidR="00A267C6" w:rsidRDefault="00315F6A">
      <w:pPr>
        <w:pStyle w:val="ConsPlusNormal"/>
      </w:pPr>
      <w:r>
        <w:rPr>
          <w:i/>
        </w:rPr>
        <w:br/>
        <w:t>Постановление Правительства Мурманской области от 13.11.2020 N 795-ПП (ред. от 01.09.20</w:t>
      </w:r>
      <w:r>
        <w:rPr>
          <w:i/>
        </w:rPr>
        <w:t>25) "О государственной программе Мурманской области "Комфортное жилье и городская среда"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A267C6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C6"/>
    <w:rsid w:val="00315F6A"/>
    <w:rsid w:val="00A2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2917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vt:lpstr>
    </vt:vector>
  </TitlesOfParts>
  <Company>КонсультантПлюс Версия 4024.00.50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dc:title>
  <dc:creator>Колесова Т.С.</dc:creator>
  <cp:lastModifiedBy>Колесова Т.С.</cp:lastModifiedBy>
  <cp:revision>2</cp:revision>
  <dcterms:created xsi:type="dcterms:W3CDTF">2025-10-01T08:52:00Z</dcterms:created>
  <dcterms:modified xsi:type="dcterms:W3CDTF">2025-10-01T08:52:00Z</dcterms:modified>
</cp:coreProperties>
</file>